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center"/>
        <w:textAlignment w:val="auto"/>
        <w:rPr>
          <w:rFonts w:hint="default" w:ascii="Times New Roman" w:hAnsi="Times New Roman" w:eastAsia="方正小标宋_GBK" w:cs="Times New Roman"/>
          <w:sz w:val="40"/>
          <w:szCs w:val="40"/>
          <w:lang w:val="en-US" w:eastAsia="zh-CN"/>
        </w:rPr>
      </w:pPr>
      <w:r>
        <w:rPr>
          <w:rFonts w:hint="default" w:ascii="Times New Roman" w:hAnsi="Times New Roman" w:eastAsia="方正小标宋_GBK" w:cs="Times New Roman"/>
          <w:sz w:val="40"/>
          <w:szCs w:val="40"/>
          <w:lang w:val="en-US" w:eastAsia="zh-CN"/>
        </w:rPr>
        <w:t>地区</w:t>
      </w:r>
      <w:r>
        <w:rPr>
          <w:rFonts w:hint="default" w:ascii="Times New Roman" w:hAnsi="Times New Roman" w:eastAsia="方正小标宋_GBK" w:cs="Times New Roman"/>
          <w:sz w:val="40"/>
          <w:szCs w:val="40"/>
        </w:rPr>
        <w:t>发展改革委</w:t>
      </w:r>
      <w:r>
        <w:rPr>
          <w:rFonts w:hint="default" w:ascii="Times New Roman" w:hAnsi="Times New Roman" w:eastAsia="方正小标宋_GBK" w:cs="Times New Roman"/>
          <w:sz w:val="40"/>
          <w:szCs w:val="40"/>
          <w:lang w:val="en-US" w:eastAsia="zh-CN"/>
        </w:rPr>
        <w:t xml:space="preserve"> </w:t>
      </w:r>
      <w:r>
        <w:rPr>
          <w:rFonts w:hint="default" w:ascii="Times New Roman" w:hAnsi="Times New Roman" w:eastAsia="方正小标宋_GBK" w:cs="Times New Roman"/>
          <w:sz w:val="40"/>
          <w:szCs w:val="40"/>
        </w:rPr>
        <w:t>财政</w:t>
      </w:r>
      <w:r>
        <w:rPr>
          <w:rFonts w:hint="default" w:ascii="Times New Roman" w:hAnsi="Times New Roman" w:eastAsia="方正小标宋_GBK" w:cs="Times New Roman"/>
          <w:sz w:val="40"/>
          <w:szCs w:val="40"/>
          <w:lang w:val="en-US" w:eastAsia="zh-CN"/>
        </w:rPr>
        <w:t xml:space="preserve">局 </w:t>
      </w:r>
      <w:r>
        <w:rPr>
          <w:rFonts w:hint="default" w:ascii="Times New Roman" w:hAnsi="Times New Roman" w:eastAsia="方正小标宋_GBK" w:cs="Times New Roman"/>
          <w:sz w:val="40"/>
          <w:szCs w:val="40"/>
        </w:rPr>
        <w:t>民政</w:t>
      </w:r>
      <w:r>
        <w:rPr>
          <w:rFonts w:hint="default" w:ascii="Times New Roman" w:hAnsi="Times New Roman" w:eastAsia="方正小标宋_GBK" w:cs="Times New Roman"/>
          <w:sz w:val="40"/>
          <w:szCs w:val="40"/>
          <w:lang w:val="en-US" w:eastAsia="zh-CN"/>
        </w:rPr>
        <w:t xml:space="preserve">局 </w:t>
      </w:r>
      <w:r>
        <w:rPr>
          <w:rFonts w:hint="default" w:ascii="Times New Roman" w:hAnsi="Times New Roman" w:eastAsia="方正小标宋_GBK" w:cs="Times New Roman"/>
          <w:sz w:val="40"/>
          <w:szCs w:val="40"/>
        </w:rPr>
        <w:t>市场监督管理局</w:t>
      </w:r>
      <w:bookmarkStart w:id="0" w:name="OLE_LINK3"/>
      <w:r>
        <w:rPr>
          <w:rFonts w:hint="default" w:ascii="Times New Roman" w:hAnsi="Times New Roman" w:eastAsia="方正小标宋_GBK" w:cs="Times New Roman"/>
          <w:sz w:val="40"/>
          <w:szCs w:val="40"/>
        </w:rPr>
        <w:t>关于制定喀什地区</w:t>
      </w:r>
      <w:r>
        <w:rPr>
          <w:rFonts w:hint="default" w:ascii="Times New Roman" w:hAnsi="Times New Roman" w:eastAsia="方正小标宋_GBK" w:cs="Times New Roman"/>
          <w:sz w:val="40"/>
          <w:szCs w:val="40"/>
          <w:lang w:val="en-US" w:eastAsia="zh-CN"/>
        </w:rPr>
        <w:t>殡仪延伸服务和公益性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center"/>
        <w:textAlignment w:val="auto"/>
        <w:rPr>
          <w:rFonts w:hint="default" w:ascii="Times New Roman" w:hAnsi="Times New Roman" w:eastAsia="方正小标宋_GBK" w:cs="Times New Roman"/>
          <w:sz w:val="40"/>
          <w:szCs w:val="40"/>
          <w:lang w:val="en-US" w:eastAsia="zh-CN"/>
        </w:rPr>
      </w:pPr>
      <w:r>
        <w:rPr>
          <w:rFonts w:hint="default" w:ascii="Times New Roman" w:hAnsi="Times New Roman" w:eastAsia="方正小标宋_GBK" w:cs="Times New Roman"/>
          <w:sz w:val="40"/>
          <w:szCs w:val="40"/>
          <w:lang w:val="en-US" w:eastAsia="zh-CN"/>
        </w:rPr>
        <w:t>公墓服务收费标准的通知</w:t>
      </w:r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各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县市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发展改革委、财政局、民政局、市场监督管理局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根据</w:t>
      </w:r>
      <w:bookmarkStart w:id="1" w:name="OLE_LINK2"/>
      <w:r>
        <w:rPr>
          <w:rFonts w:hint="default" w:ascii="Times New Roman" w:hAnsi="Times New Roman" w:eastAsia="方正仿宋_GBK" w:cs="Times New Roman"/>
          <w:sz w:val="32"/>
          <w:szCs w:val="32"/>
        </w:rPr>
        <w:t>《中华人民共和国价格法》</w:t>
      </w:r>
      <w:bookmarkEnd w:id="1"/>
      <w:r>
        <w:rPr>
          <w:rFonts w:hint="default" w:ascii="Times New Roman" w:hAnsi="Times New Roman" w:eastAsia="方正仿宋_GBK" w:cs="Times New Roman"/>
          <w:sz w:val="32"/>
          <w:szCs w:val="32"/>
        </w:rPr>
        <w:t>《政府制定价格行为规则》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（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2017年第7号令）、《国家发展改革委 民政部关于进一步加强殡葬服务收费管理有关问题的指导意见》（发改价格〔2012〕673号）、《自治区发展改革委等部门关于印发＜新疆维吾尔自治区殡葬服务收费管理办法＞的通知》（新发改规〔2024〕9号）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、《自治区发展改革委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 xml:space="preserve"> 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财政厅 民政厅 市场监督管理局关于加强我区殡葬服务收费管理工作的通知》（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新发改收费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〔202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5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〕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363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号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）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等规定，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依法依规履行政府制定价格相关程序，并经行署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2025年第二十一次常务会议研究同意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，现就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喀什地区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殡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仪延伸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服务收费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和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公益性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公墓服务收费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工作通知如下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default" w:ascii="Times New Roman" w:hAnsi="Times New Roman" w:eastAsia="方正黑体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黑体_GBK" w:cs="Times New Roman"/>
          <w:sz w:val="32"/>
          <w:szCs w:val="32"/>
          <w:lang w:val="en-US" w:eastAsia="zh-CN"/>
        </w:rPr>
        <w:t>一、</w:t>
      </w:r>
      <w:r>
        <w:rPr>
          <w:rFonts w:hint="default" w:ascii="Times New Roman" w:hAnsi="Times New Roman" w:eastAsia="方正黑体_GBK" w:cs="Times New Roman"/>
          <w:sz w:val="32"/>
          <w:szCs w:val="32"/>
        </w:rPr>
        <w:t>殡仪</w:t>
      </w:r>
      <w:r>
        <w:rPr>
          <w:rFonts w:hint="default" w:ascii="Times New Roman" w:hAnsi="Times New Roman" w:eastAsia="方正黑体_GBK" w:cs="Times New Roman"/>
          <w:sz w:val="32"/>
          <w:szCs w:val="32"/>
          <w:lang w:val="en-US" w:eastAsia="zh-CN"/>
        </w:rPr>
        <w:t>延伸</w:t>
      </w:r>
      <w:r>
        <w:rPr>
          <w:rFonts w:hint="default" w:ascii="Times New Roman" w:hAnsi="Times New Roman" w:eastAsia="方正黑体_GBK" w:cs="Times New Roman"/>
          <w:sz w:val="32"/>
          <w:szCs w:val="32"/>
        </w:rPr>
        <w:t>服务收费标准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殡仪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延伸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服务包括遗体防腐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，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遗体整容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（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含洁身、更衣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）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，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吊唁设施及设备租赁等3项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延伸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服务，延伸服务收费实行政府指导价</w:t>
      </w:r>
      <w:bookmarkStart w:id="2" w:name="OLE_LINK1"/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，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下浮不限。喀什地区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殡仪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延伸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服务收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费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具体标准见附件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1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。</w:t>
      </w:r>
    </w:p>
    <w:bookmarkEnd w:id="2"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default" w:ascii="Times New Roman" w:hAnsi="Times New Roman" w:eastAsia="方正黑体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黑体_GBK" w:cs="Times New Roman"/>
          <w:sz w:val="32"/>
          <w:szCs w:val="32"/>
          <w:lang w:val="en-US" w:eastAsia="zh-CN"/>
        </w:rPr>
        <w:t>二、公益性公墓价格及公墓维护管理费收费标准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公益性公墓价格及公墓维护管理费实行政府指导价，下浮不限，海拔3000米以上县公益性公墓价格可不超过30％上浮。经营性公墓价格及公墓维护管理费实行市场调节价。喀什地区公益性公墓价格及公墓维护管理费收费具体标准见附件2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default" w:ascii="Times New Roman" w:hAnsi="Times New Roman" w:eastAsia="方正黑体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黑体_GBK" w:cs="Times New Roman"/>
          <w:sz w:val="32"/>
          <w:szCs w:val="32"/>
          <w:lang w:val="en-US" w:eastAsia="zh-CN"/>
        </w:rPr>
        <w:t>三、加强殡葬服务收费行为监管</w:t>
      </w:r>
    </w:p>
    <w:p>
      <w:pPr>
        <w:pStyle w:val="7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40" w:lineRule="exact"/>
        <w:ind w:right="0" w:firstLine="640" w:firstLineChars="200"/>
        <w:jc w:val="both"/>
        <w:textAlignment w:val="auto"/>
        <w:rPr>
          <w:rFonts w:hint="default" w:ascii="Times New Roman" w:hAnsi="Times New Roman" w:eastAsia="方正仿宋_GBK" w:cs="Times New Roman"/>
          <w:i w:val="0"/>
          <w:caps w:val="0"/>
          <w:color w:val="333333"/>
          <w:spacing w:val="0"/>
          <w:sz w:val="32"/>
          <w:szCs w:val="32"/>
        </w:rPr>
      </w:pPr>
      <w:r>
        <w:rPr>
          <w:rFonts w:hint="default" w:ascii="Times New Roman" w:hAnsi="Times New Roman" w:eastAsia="方正楷体_GBK" w:cs="Times New Roman"/>
          <w:b w:val="0"/>
          <w:bCs w:val="0"/>
          <w:color w:val="000000"/>
          <w:spacing w:val="0"/>
          <w:kern w:val="0"/>
          <w:sz w:val="32"/>
          <w:szCs w:val="32"/>
          <w:highlight w:val="none"/>
          <w:lang w:val="en-US" w:eastAsia="zh-CN" w:bidi="ar"/>
        </w:rPr>
        <w:t>（一）经营者要</w:t>
      </w:r>
      <w:r>
        <w:rPr>
          <w:rFonts w:hint="eastAsia" w:ascii="Times New Roman" w:hAnsi="Times New Roman" w:eastAsia="方正楷体_GBK" w:cs="Times New Roman"/>
          <w:b w:val="0"/>
          <w:bCs w:val="0"/>
          <w:color w:val="000000"/>
          <w:spacing w:val="0"/>
          <w:kern w:val="0"/>
          <w:sz w:val="32"/>
          <w:szCs w:val="32"/>
          <w:highlight w:val="none"/>
          <w:lang w:val="en-US" w:eastAsia="zh-CN" w:bidi="ar"/>
        </w:rPr>
        <w:t>做好明码标价</w:t>
      </w:r>
      <w:r>
        <w:rPr>
          <w:rFonts w:hint="default" w:ascii="Times New Roman" w:hAnsi="Times New Roman" w:eastAsia="方正楷体_GBK" w:cs="Times New Roman"/>
          <w:b w:val="0"/>
          <w:bCs w:val="0"/>
          <w:color w:val="000000"/>
          <w:spacing w:val="0"/>
          <w:kern w:val="0"/>
          <w:sz w:val="32"/>
          <w:szCs w:val="32"/>
          <w:highlight w:val="none"/>
          <w:lang w:val="en-US" w:eastAsia="zh-CN" w:bidi="ar"/>
        </w:rPr>
        <w:t>。</w:t>
      </w:r>
      <w:r>
        <w:rPr>
          <w:rFonts w:hint="default" w:ascii="Times New Roman" w:hAnsi="Times New Roman" w:eastAsia="方正仿宋_GBK" w:cs="Times New Roman"/>
          <w:spacing w:val="0"/>
          <w:sz w:val="32"/>
          <w:szCs w:val="32"/>
          <w:lang w:val="en-US" w:eastAsia="zh-CN"/>
        </w:rPr>
        <w:t>殡葬服务</w:t>
      </w:r>
      <w:r>
        <w:rPr>
          <w:rFonts w:hint="default" w:ascii="Times New Roman" w:hAnsi="Times New Roman" w:eastAsia="方正仿宋_GBK" w:cs="Times New Roman"/>
          <w:spacing w:val="0"/>
          <w:sz w:val="32"/>
          <w:szCs w:val="32"/>
        </w:rPr>
        <w:t>经营</w:t>
      </w:r>
      <w:r>
        <w:rPr>
          <w:rFonts w:hint="default" w:ascii="Times New Roman" w:hAnsi="Times New Roman" w:eastAsia="方正仿宋_GBK" w:cs="Times New Roman"/>
          <w:spacing w:val="0"/>
          <w:sz w:val="32"/>
          <w:szCs w:val="32"/>
          <w:lang w:val="en-US" w:eastAsia="zh-CN"/>
        </w:rPr>
        <w:t>单位要严格执行</w:t>
      </w:r>
      <w:r>
        <w:rPr>
          <w:rFonts w:hint="default" w:ascii="Times New Roman" w:hAnsi="Times New Roman" w:eastAsia="方正仿宋_GBK" w:cs="Times New Roman"/>
          <w:spacing w:val="0"/>
          <w:sz w:val="32"/>
          <w:szCs w:val="32"/>
        </w:rPr>
        <w:t>明码标价</w:t>
      </w:r>
      <w:r>
        <w:rPr>
          <w:rFonts w:hint="default" w:ascii="Times New Roman" w:hAnsi="Times New Roman" w:eastAsia="方正仿宋_GBK" w:cs="Times New Roman"/>
          <w:spacing w:val="0"/>
          <w:sz w:val="32"/>
          <w:szCs w:val="32"/>
          <w:lang w:val="en-US" w:eastAsia="zh-CN"/>
        </w:rPr>
        <w:t>规定</w:t>
      </w:r>
      <w:r>
        <w:rPr>
          <w:rFonts w:hint="default" w:ascii="Times New Roman" w:hAnsi="Times New Roman" w:eastAsia="方正仿宋_GBK" w:cs="Times New Roman"/>
          <w:spacing w:val="0"/>
          <w:sz w:val="32"/>
          <w:szCs w:val="32"/>
        </w:rPr>
        <w:t>，</w:t>
      </w:r>
      <w:r>
        <w:rPr>
          <w:rFonts w:hint="default" w:ascii="Times New Roman" w:hAnsi="Times New Roman" w:eastAsia="方正仿宋_GBK" w:cs="Times New Roman"/>
          <w:spacing w:val="0"/>
          <w:sz w:val="32"/>
          <w:szCs w:val="32"/>
          <w:lang w:val="en-US" w:eastAsia="zh-CN"/>
        </w:rPr>
        <w:t>在服务场所显著位置</w:t>
      </w:r>
      <w:r>
        <w:rPr>
          <w:rFonts w:hint="default" w:ascii="Times New Roman" w:hAnsi="Times New Roman" w:eastAsia="方正仿宋_GBK" w:cs="Times New Roman"/>
          <w:spacing w:val="0"/>
          <w:sz w:val="32"/>
          <w:szCs w:val="32"/>
        </w:rPr>
        <w:t>公示服务项目</w:t>
      </w:r>
      <w:r>
        <w:rPr>
          <w:rFonts w:hint="default" w:ascii="Times New Roman" w:hAnsi="Times New Roman" w:eastAsia="方正仿宋_GBK" w:cs="Times New Roman"/>
          <w:spacing w:val="0"/>
          <w:sz w:val="32"/>
          <w:szCs w:val="32"/>
          <w:lang w:eastAsia="zh-CN"/>
        </w:rPr>
        <w:t>、</w:t>
      </w:r>
      <w:r>
        <w:rPr>
          <w:rFonts w:hint="default" w:ascii="Times New Roman" w:hAnsi="Times New Roman" w:eastAsia="方正仿宋_GBK" w:cs="Times New Roman"/>
          <w:spacing w:val="0"/>
          <w:sz w:val="32"/>
          <w:szCs w:val="32"/>
          <w:lang w:val="en-US" w:eastAsia="zh-CN"/>
        </w:rPr>
        <w:t>服务规范、收费标准、收费依据和价格投诉举报电话等，自觉接受群众、行政部门和社会监督</w:t>
      </w:r>
      <w:r>
        <w:rPr>
          <w:rFonts w:hint="default" w:ascii="Times New Roman" w:hAnsi="Times New Roman" w:eastAsia="方正仿宋_GBK" w:cs="Times New Roman"/>
          <w:spacing w:val="0"/>
          <w:sz w:val="32"/>
          <w:szCs w:val="32"/>
        </w:rPr>
        <w:t>。</w:t>
      </w:r>
    </w:p>
    <w:p>
      <w:pPr>
        <w:pStyle w:val="7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40" w:lineRule="exact"/>
        <w:ind w:right="0" w:firstLine="640" w:firstLineChars="200"/>
        <w:jc w:val="both"/>
        <w:textAlignment w:val="auto"/>
        <w:rPr>
          <w:rFonts w:hint="eastAsia" w:ascii="Times New Roman" w:hAnsi="Times New Roman" w:eastAsia="方正楷体_GBK" w:cs="Times New Roman"/>
          <w:b w:val="0"/>
          <w:bCs w:val="0"/>
          <w:color w:val="000000"/>
          <w:spacing w:val="0"/>
          <w:kern w:val="0"/>
          <w:sz w:val="32"/>
          <w:szCs w:val="32"/>
          <w:highlight w:val="none"/>
          <w:lang w:val="en-US" w:eastAsia="zh-CN" w:bidi="ar"/>
        </w:rPr>
      </w:pPr>
      <w:r>
        <w:rPr>
          <w:rFonts w:hint="default" w:ascii="Times New Roman" w:hAnsi="Times New Roman" w:eastAsia="方正楷体_GBK" w:cs="Times New Roman"/>
          <w:b w:val="0"/>
          <w:bCs w:val="0"/>
          <w:color w:val="000000"/>
          <w:spacing w:val="0"/>
          <w:kern w:val="0"/>
          <w:sz w:val="32"/>
          <w:szCs w:val="32"/>
          <w:highlight w:val="none"/>
          <w:lang w:val="en-US" w:eastAsia="zh-CN" w:bidi="ar"/>
        </w:rPr>
        <w:t>（二）加强殡葬行业监管</w:t>
      </w:r>
      <w:r>
        <w:rPr>
          <w:rFonts w:hint="eastAsia" w:ascii="Times New Roman" w:hAnsi="Times New Roman" w:eastAsia="方正楷体_GBK" w:cs="Times New Roman"/>
          <w:b w:val="0"/>
          <w:bCs w:val="0"/>
          <w:color w:val="000000"/>
          <w:spacing w:val="0"/>
          <w:kern w:val="0"/>
          <w:sz w:val="32"/>
          <w:szCs w:val="32"/>
          <w:highlight w:val="none"/>
          <w:lang w:val="en-US" w:eastAsia="zh-CN" w:bidi="ar"/>
        </w:rPr>
        <w:t>。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地县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民政部门要健全殡葬管理体制机制，严格规范服务标准，推动构建跨部门综合监管机制，加强殡葬行业监管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；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对市场调节价的殡葬服务实行清单化管理，建立服务清单目录，严格控制服务数量，明确服务内容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；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督促指导殡葬服务机构规范和公开殡葬服务流程、收费项目和标准，落实价格承诺和公示制度，实行清单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之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外无收费项目，遏制殡葬服务市场乱收费现象。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eastAsia" w:ascii="Times New Roman" w:hAnsi="Times New Roman" w:eastAsia="方正楷体_GBK" w:cs="Times New Roman"/>
          <w:b w:val="0"/>
          <w:bCs w:val="0"/>
          <w:color w:val="000000"/>
          <w:spacing w:val="0"/>
          <w:kern w:val="0"/>
          <w:sz w:val="32"/>
          <w:szCs w:val="32"/>
          <w:highlight w:val="none"/>
          <w:lang w:val="en-US" w:eastAsia="zh-CN" w:bidi="ar"/>
        </w:rPr>
        <w:t>（三）加大价格违法行为惩处力度。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地县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市场监督管理部门要根据《中华人民共和国价格法》《价格违法行为行政处罚规定》《明码标价和禁止价格欺诈规定》等法律法规，依法查处涉及殡葬行业价格、不正当竞争等违法行为。</w:t>
      </w:r>
      <w:bookmarkStart w:id="3" w:name="_GoBack"/>
      <w:bookmarkEnd w:id="3"/>
    </w:p>
    <w:p>
      <w:pPr>
        <w:pStyle w:val="7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40" w:lineRule="exact"/>
        <w:ind w:right="0" w:firstLine="640" w:firstLineChars="200"/>
        <w:jc w:val="both"/>
        <w:textAlignment w:val="auto"/>
        <w:rPr>
          <w:rFonts w:hint="default" w:ascii="Times New Roman" w:hAnsi="Times New Roman" w:eastAsia="方正仿宋_GBK" w:cs="Times New Roman"/>
          <w:i w:val="0"/>
          <w:caps w:val="0"/>
          <w:color w:val="333333"/>
          <w:spacing w:val="0"/>
          <w:sz w:val="32"/>
          <w:szCs w:val="32"/>
        </w:rPr>
      </w:pPr>
      <w:r>
        <w:rPr>
          <w:rFonts w:hint="eastAsia" w:ascii="Times New Roman" w:hAnsi="Times New Roman" w:eastAsia="方正楷体_GBK" w:cs="Times New Roman"/>
          <w:b w:val="0"/>
          <w:bCs w:val="0"/>
          <w:color w:val="000000"/>
          <w:spacing w:val="0"/>
          <w:kern w:val="0"/>
          <w:sz w:val="32"/>
          <w:szCs w:val="32"/>
          <w:highlight w:val="none"/>
          <w:lang w:val="en-US" w:eastAsia="zh-CN" w:bidi="ar"/>
        </w:rPr>
        <w:t>（四）加大</w:t>
      </w:r>
      <w:r>
        <w:rPr>
          <w:rFonts w:hint="default" w:ascii="Times New Roman" w:hAnsi="Times New Roman" w:eastAsia="方正楷体_GBK" w:cs="Times New Roman"/>
          <w:b w:val="0"/>
          <w:bCs w:val="0"/>
          <w:color w:val="000000"/>
          <w:spacing w:val="0"/>
          <w:kern w:val="0"/>
          <w:sz w:val="32"/>
          <w:szCs w:val="32"/>
          <w:highlight w:val="none"/>
          <w:lang w:val="en-US" w:eastAsia="zh-CN" w:bidi="ar"/>
        </w:rPr>
        <w:t>宣传</w:t>
      </w:r>
      <w:r>
        <w:rPr>
          <w:rFonts w:hint="eastAsia" w:ascii="Times New Roman" w:hAnsi="Times New Roman" w:eastAsia="方正楷体_GBK" w:cs="Times New Roman"/>
          <w:b w:val="0"/>
          <w:bCs w:val="0"/>
          <w:color w:val="000000"/>
          <w:spacing w:val="0"/>
          <w:kern w:val="0"/>
          <w:sz w:val="32"/>
          <w:szCs w:val="32"/>
          <w:highlight w:val="none"/>
          <w:lang w:val="en-US" w:eastAsia="zh-CN" w:bidi="ar"/>
        </w:rPr>
        <w:t>力度</w:t>
      </w:r>
      <w:r>
        <w:rPr>
          <w:rFonts w:hint="default" w:ascii="Times New Roman" w:hAnsi="Times New Roman" w:eastAsia="方正楷体_GBK" w:cs="Times New Roman"/>
          <w:b w:val="0"/>
          <w:bCs w:val="0"/>
          <w:color w:val="000000"/>
          <w:spacing w:val="0"/>
          <w:kern w:val="0"/>
          <w:sz w:val="32"/>
          <w:szCs w:val="32"/>
          <w:highlight w:val="none"/>
          <w:lang w:val="en-US" w:eastAsia="zh-CN" w:bidi="ar"/>
        </w:rPr>
        <w:t>。</w:t>
      </w:r>
      <w:r>
        <w:rPr>
          <w:rFonts w:hint="default" w:ascii="Times New Roman" w:hAnsi="Times New Roman" w:eastAsia="方正仿宋_GBK" w:cs="Times New Roman"/>
          <w:spacing w:val="0"/>
          <w:sz w:val="32"/>
          <w:szCs w:val="32"/>
        </w:rPr>
        <w:t>地</w:t>
      </w:r>
      <w:r>
        <w:rPr>
          <w:rFonts w:hint="default" w:ascii="Times New Roman" w:hAnsi="Times New Roman" w:eastAsia="方正仿宋_GBK" w:cs="Times New Roman"/>
          <w:spacing w:val="0"/>
          <w:sz w:val="32"/>
          <w:szCs w:val="32"/>
          <w:lang w:val="en-US" w:eastAsia="zh-CN"/>
        </w:rPr>
        <w:t>县民政</w:t>
      </w:r>
      <w:r>
        <w:rPr>
          <w:rFonts w:hint="default" w:ascii="Times New Roman" w:hAnsi="Times New Roman" w:eastAsia="方正仿宋_GBK" w:cs="Times New Roman"/>
          <w:spacing w:val="0"/>
          <w:sz w:val="32"/>
          <w:szCs w:val="32"/>
        </w:rPr>
        <w:t>、发展改革</w:t>
      </w:r>
      <w:r>
        <w:rPr>
          <w:rFonts w:hint="eastAsia" w:ascii="Times New Roman" w:hAnsi="Times New Roman" w:eastAsia="方正仿宋_GBK" w:cs="Times New Roman"/>
          <w:spacing w:val="0"/>
          <w:sz w:val="32"/>
          <w:szCs w:val="32"/>
          <w:lang w:eastAsia="zh-CN"/>
        </w:rPr>
        <w:t>、</w:t>
      </w:r>
      <w:r>
        <w:rPr>
          <w:rFonts w:hint="eastAsia" w:ascii="Times New Roman" w:hAnsi="Times New Roman" w:eastAsia="方正仿宋_GBK" w:cs="Times New Roman"/>
          <w:spacing w:val="0"/>
          <w:sz w:val="32"/>
          <w:szCs w:val="32"/>
          <w:lang w:val="en-US" w:eastAsia="zh-CN"/>
        </w:rPr>
        <w:t>市监、财政等</w:t>
      </w:r>
      <w:r>
        <w:rPr>
          <w:rFonts w:hint="default" w:ascii="Times New Roman" w:hAnsi="Times New Roman" w:eastAsia="方正仿宋_GBK" w:cs="Times New Roman"/>
          <w:spacing w:val="0"/>
          <w:sz w:val="32"/>
          <w:szCs w:val="32"/>
        </w:rPr>
        <w:t>部门应加强组织领导，</w:t>
      </w:r>
      <w:r>
        <w:rPr>
          <w:rFonts w:hint="default" w:ascii="Times New Roman" w:hAnsi="Times New Roman" w:eastAsia="方正仿宋_GBK" w:cs="Times New Roman"/>
          <w:spacing w:val="0"/>
          <w:sz w:val="32"/>
          <w:szCs w:val="32"/>
          <w:lang w:eastAsia="zh-CN"/>
        </w:rPr>
        <w:t>加大殡葬服务收费政策宣传力度，</w:t>
      </w:r>
      <w:r>
        <w:rPr>
          <w:rFonts w:hint="default" w:ascii="Times New Roman" w:hAnsi="Times New Roman" w:eastAsia="方正仿宋_GBK" w:cs="Times New Roman"/>
          <w:spacing w:val="0"/>
          <w:sz w:val="32"/>
          <w:szCs w:val="32"/>
        </w:rPr>
        <w:t>引导相关</w:t>
      </w:r>
      <w:r>
        <w:rPr>
          <w:rFonts w:hint="default" w:ascii="Times New Roman" w:hAnsi="Times New Roman" w:eastAsia="方正仿宋_GBK" w:cs="Times New Roman"/>
          <w:spacing w:val="0"/>
          <w:sz w:val="32"/>
          <w:szCs w:val="32"/>
          <w:lang w:val="en-US" w:eastAsia="zh-CN"/>
        </w:rPr>
        <w:t>殡葬服务</w:t>
      </w:r>
      <w:r>
        <w:rPr>
          <w:rFonts w:hint="default" w:ascii="Times New Roman" w:hAnsi="Times New Roman" w:eastAsia="方正仿宋_GBK" w:cs="Times New Roman"/>
          <w:spacing w:val="0"/>
          <w:sz w:val="32"/>
          <w:szCs w:val="32"/>
        </w:rPr>
        <w:t>经营者依法合规经营，加强舆论引导，及时回应社会关切，确保价格</w:t>
      </w:r>
      <w:r>
        <w:rPr>
          <w:rFonts w:hint="default" w:ascii="Times New Roman" w:hAnsi="Times New Roman" w:eastAsia="方正仿宋_GBK" w:cs="Times New Roman"/>
          <w:spacing w:val="0"/>
          <w:sz w:val="32"/>
          <w:szCs w:val="32"/>
          <w:lang w:val="en-US" w:eastAsia="zh-CN"/>
        </w:rPr>
        <w:t>政策</w:t>
      </w:r>
      <w:r>
        <w:rPr>
          <w:rFonts w:hint="default" w:ascii="Times New Roman" w:hAnsi="Times New Roman" w:eastAsia="方正仿宋_GBK" w:cs="Times New Roman"/>
          <w:spacing w:val="0"/>
          <w:sz w:val="32"/>
          <w:szCs w:val="32"/>
        </w:rPr>
        <w:t>顺利实施。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本通知自2025年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12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月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1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日起执行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，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有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效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期5年，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由地区发展改革委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、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财政局、民政局、市场监督管理局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负责解释。如遇国家、自治区政策调整，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从其规定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附件：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1.喀什地区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殡仪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延伸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服务收费标准表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1598" w:leftChars="304" w:hanging="960" w:hangingChars="300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 xml:space="preserve">      2.喀什地区公益性公墓价格及公墓维护管理费收费标准表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喀什地区发展和改革委员会         喀什地区财政局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center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center"/>
        <w:textAlignment w:val="auto"/>
        <w:rPr>
          <w:rFonts w:hint="default" w:ascii="Times New Roman" w:hAnsi="Times New Roman" w:cs="Times New Roman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default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 xml:space="preserve">喀什地区民政局      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 xml:space="preserve"> 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 xml:space="preserve">    喀什地区市场监督管理局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right"/>
        <w:textAlignment w:val="auto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2025年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10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月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28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日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 xml:space="preserve">       </w:t>
      </w:r>
    </w:p>
    <w:p>
      <w:pPr>
        <w:pStyle w:val="2"/>
        <w:wordWrap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</w:p>
    <w:p>
      <w:pP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</w:p>
    <w:p>
      <w:pPr>
        <w:pStyle w:val="2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</w:p>
    <w:p>
      <w:pP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</w:p>
    <w:p>
      <w:pPr>
        <w:pStyle w:val="2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</w:p>
    <w:p>
      <w:pP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</w:p>
    <w:p>
      <w:pPr>
        <w:pStyle w:val="2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</w:p>
    <w:p>
      <w:pP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</w:p>
    <w:p>
      <w:pPr>
        <w:pStyle w:val="2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sectPr>
      <w:footerReference r:id="rId3" w:type="default"/>
      <w:pgSz w:w="11906" w:h="16838"/>
      <w:pgMar w:top="1984" w:right="1531" w:bottom="1701" w:left="1531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小标宋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仿宋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黑体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楷体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5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t xml:space="preserve">— 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s0lY7tAAAAAFAQAADwAAAAAAAAABACAAAAAi&#10;AAAAZHJzL2Rvd25yZXYueG1sUEsBAhQAFAAAAAgAh07iQErbzf8SAgAAEwQAAA4AAAAAAAAAAQAg&#10;AAAAHwEAAGRycy9lMm9Eb2MueG1sUEsFBgAAAAAGAAYAWQEAAKM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t xml:space="preserve">— 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DBE47CE"/>
    <w:rsid w:val="024E1728"/>
    <w:rsid w:val="024E6BDA"/>
    <w:rsid w:val="03D15098"/>
    <w:rsid w:val="04AA7720"/>
    <w:rsid w:val="07AD675E"/>
    <w:rsid w:val="09211FC1"/>
    <w:rsid w:val="0D3B20CE"/>
    <w:rsid w:val="0D425EC1"/>
    <w:rsid w:val="11856A24"/>
    <w:rsid w:val="12407FE2"/>
    <w:rsid w:val="12FA44DB"/>
    <w:rsid w:val="16B82BF5"/>
    <w:rsid w:val="17026C71"/>
    <w:rsid w:val="19FD5215"/>
    <w:rsid w:val="1B943560"/>
    <w:rsid w:val="1D0B277B"/>
    <w:rsid w:val="1F81048B"/>
    <w:rsid w:val="21C041EF"/>
    <w:rsid w:val="25DF5F91"/>
    <w:rsid w:val="29733930"/>
    <w:rsid w:val="2B7751E9"/>
    <w:rsid w:val="2D7439D5"/>
    <w:rsid w:val="3241687C"/>
    <w:rsid w:val="3261103E"/>
    <w:rsid w:val="3408335C"/>
    <w:rsid w:val="357A614F"/>
    <w:rsid w:val="36037862"/>
    <w:rsid w:val="386C65BE"/>
    <w:rsid w:val="3D2D70C7"/>
    <w:rsid w:val="455948D2"/>
    <w:rsid w:val="55AF19AE"/>
    <w:rsid w:val="573A6013"/>
    <w:rsid w:val="57AA6907"/>
    <w:rsid w:val="58352CCD"/>
    <w:rsid w:val="5F24348B"/>
    <w:rsid w:val="5FBE0683"/>
    <w:rsid w:val="62F85427"/>
    <w:rsid w:val="69890095"/>
    <w:rsid w:val="6C150525"/>
    <w:rsid w:val="6DBC0F3D"/>
    <w:rsid w:val="766B2CF4"/>
    <w:rsid w:val="7DBE47CE"/>
    <w:rsid w:val="7F827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widowControl w:val="0"/>
      <w:spacing w:line="0" w:lineRule="atLeast"/>
      <w:ind w:firstLine="21" w:firstLineChars="200"/>
      <w:jc w:val="center"/>
      <w:outlineLvl w:val="1"/>
    </w:pPr>
    <w:rPr>
      <w:rFonts w:ascii="Times New Roman" w:hAnsi="Times New Roman" w:eastAsia="宋体" w:cs="Times New Roman"/>
      <w:kern w:val="0"/>
      <w:sz w:val="28"/>
      <w:szCs w:val="20"/>
      <w:lang w:val="en-US" w:eastAsia="zh-CN" w:bidi="ar-SA"/>
    </w:rPr>
  </w:style>
  <w:style w:type="character" w:default="1" w:styleId="9">
    <w:name w:val="Default Paragraph Font"/>
    <w:semiHidden/>
    <w:uiPriority w:val="0"/>
  </w:style>
  <w:style w:type="table" w:default="1" w:styleId="8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</w:style>
  <w:style w:type="paragraph" w:styleId="4">
    <w:name w:val="Body Text Indent 2"/>
    <w:basedOn w:val="1"/>
    <w:qFormat/>
    <w:uiPriority w:val="0"/>
    <w:pPr>
      <w:spacing w:before="100" w:beforeLines="0" w:beforeAutospacing="1" w:after="120" w:afterLines="0" w:afterAutospacing="0" w:line="480" w:lineRule="auto"/>
      <w:ind w:left="420" w:leftChars="200"/>
    </w:pPr>
    <w:rPr>
      <w:rFonts w:eastAsia="仿宋_GB2312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7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Office_11.8.2.8506_F1E327BC-269C-435d-A152-05C5408002CA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2025-09-15T03:20:00Z</dcterms:created>
  <dc:creator>39600</dc:creator>
  <cp:lastModifiedBy>lenovo</cp:lastModifiedBy>
  <cp:lastPrinted>2025-10-22T04:35:00Z</cp:lastPrinted>
  <dcterms:modified xsi:type="dcterms:W3CDTF">2025-10-27T09:44:47Z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2052-11.8.2.8506</vt:lpwstr>
  </property>
</Properties>
</file>